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2A" w:rsidRDefault="00B2752A" w:rsidP="005F3234">
      <w:pPr>
        <w:jc w:val="both"/>
        <w:rPr>
          <w:rFonts w:ascii="Arial" w:eastAsia="Times New Roman" w:hAnsi="Arial" w:cs="Arial"/>
          <w:b/>
          <w:color w:val="333333"/>
          <w:sz w:val="20"/>
          <w:szCs w:val="20"/>
          <w:shd w:val="clear" w:color="auto" w:fill="FFFFFF"/>
          <w:lang w:eastAsia="es-ES"/>
        </w:rPr>
      </w:pPr>
    </w:p>
    <w:p w:rsidR="00D95049" w:rsidRDefault="00E30E24" w:rsidP="00943660">
      <w:pPr>
        <w:spacing w:line="360" w:lineRule="auto"/>
        <w:jc w:val="both"/>
        <w:rPr>
          <w:rFonts w:ascii="Arial" w:eastAsia="Calibri" w:hAnsi="Arial" w:cs="Arial"/>
          <w:b/>
        </w:rPr>
      </w:pPr>
      <w:r w:rsidRPr="00943660">
        <w:rPr>
          <w:rFonts w:ascii="Arial" w:eastAsia="Calibri" w:hAnsi="Arial" w:cs="Arial"/>
          <w:b/>
        </w:rPr>
        <w:t>O</w:t>
      </w:r>
      <w:r w:rsidR="00CB6EB8">
        <w:rPr>
          <w:rFonts w:ascii="Arial" w:eastAsia="Calibri" w:hAnsi="Arial" w:cs="Arial"/>
          <w:b/>
        </w:rPr>
        <w:t>BJETIVOS ESTRATÉGICOS E INDICADORES</w:t>
      </w:r>
      <w:r w:rsidR="007E686C">
        <w:rPr>
          <w:rFonts w:ascii="Arial" w:eastAsia="Calibri" w:hAnsi="Arial" w:cs="Arial"/>
          <w:b/>
        </w:rPr>
        <w:t xml:space="preserve"> DE CUMPLIMIENTO PLAN PLURIANUAL (2021-2023): Grado de cumplimiento y coste. </w:t>
      </w:r>
    </w:p>
    <w:p w:rsidR="00B922C9" w:rsidRPr="00B922C9" w:rsidRDefault="00B922C9" w:rsidP="00B922C9">
      <w:pPr>
        <w:spacing w:after="160" w:line="259" w:lineRule="auto"/>
        <w:jc w:val="both"/>
        <w:rPr>
          <w:rFonts w:eastAsia="Times New Roman" w:cstheme="minorHAnsi"/>
        </w:rPr>
      </w:pPr>
      <w:r w:rsidRPr="00B922C9">
        <w:rPr>
          <w:rFonts w:eastAsia="Times New Roman" w:cstheme="minorHAnsi"/>
        </w:rPr>
        <w:t xml:space="preserve">Aunque a lo largo del ejercicio </w:t>
      </w:r>
      <w:r>
        <w:rPr>
          <w:rFonts w:eastAsia="Times New Roman" w:cstheme="minorHAnsi"/>
        </w:rPr>
        <w:t xml:space="preserve">2022, </w:t>
      </w:r>
      <w:r w:rsidRPr="00B922C9">
        <w:rPr>
          <w:rFonts w:eastAsia="Times New Roman" w:cstheme="minorHAnsi"/>
        </w:rPr>
        <w:t xml:space="preserve">la ESSSCAN ha promovido la modificación de los métodos de enseñanza y aprendizaje, creando guías docentes y estableciendo una tarifa de precios que premia las modalidades y metodologías docentes de excelencia, ha actualizado la plataforma docente </w:t>
      </w:r>
      <w:proofErr w:type="spellStart"/>
      <w:r w:rsidRPr="00B922C9">
        <w:rPr>
          <w:rFonts w:eastAsia="Times New Roman" w:cstheme="minorHAnsi"/>
        </w:rPr>
        <w:t>Moodle</w:t>
      </w:r>
      <w:proofErr w:type="spellEnd"/>
      <w:r w:rsidRPr="00B922C9">
        <w:rPr>
          <w:rFonts w:eastAsia="Times New Roman" w:cstheme="minorHAnsi"/>
        </w:rPr>
        <w:t>, y ha cumplido los requerimientos en materia de Transparencia, necesita continuar avanzando en la consecución de los objetivos señalados en su plan plurianual de objetivos.</w:t>
      </w:r>
    </w:p>
    <w:p w:rsidR="00B922C9" w:rsidRPr="00B922C9" w:rsidRDefault="00B922C9" w:rsidP="00B922C9">
      <w:pPr>
        <w:spacing w:after="160" w:line="259" w:lineRule="auto"/>
        <w:jc w:val="both"/>
        <w:rPr>
          <w:rFonts w:eastAsia="Times New Roman" w:cstheme="minorHAnsi"/>
        </w:rPr>
      </w:pPr>
      <w:r w:rsidRPr="00B922C9">
        <w:rPr>
          <w:rFonts w:eastAsia="Times New Roman" w:cstheme="minorHAnsi"/>
        </w:rPr>
        <w:t xml:space="preserve">Del diagnóstico de la situación actual se desprende que la Escuela tiene que competir en un entorno donde se ha incrementado de forma significativa la oferta de formación en los ámbitos sanitario y social. Las modalidades formativas han cambiado, se ha pasado de un aprendizaje mayoritariamente pasivo a una docencia interactiva y en definitiva, la actividad de la ESSSAN se desarrolla en un entorno cambiante influenciado por los cambios en la tecnología y metodología docente. </w:t>
      </w:r>
    </w:p>
    <w:p w:rsidR="00B922C9" w:rsidRDefault="00B922C9" w:rsidP="00B922C9">
      <w:pPr>
        <w:spacing w:after="160" w:line="259" w:lineRule="auto"/>
        <w:jc w:val="both"/>
        <w:rPr>
          <w:rFonts w:eastAsia="Times New Roman" w:cstheme="minorHAnsi"/>
        </w:rPr>
      </w:pPr>
      <w:r w:rsidRPr="00B922C9">
        <w:rPr>
          <w:rFonts w:eastAsia="Times New Roman" w:cstheme="minorHAnsi"/>
        </w:rPr>
        <w:t xml:space="preserve">Por otro lado, internamente la Escuela presenta carencias a nivel organizativo, tecnológico y de recursos materiales y humanos, y aunque se han alcanzado logros como los mencionados, el margen de mejora es amplio. </w:t>
      </w:r>
    </w:p>
    <w:p w:rsidR="004E7D41" w:rsidRDefault="00B922C9" w:rsidP="00B922C9">
      <w:pPr>
        <w:spacing w:after="160" w:line="259" w:lineRule="auto"/>
        <w:jc w:val="both"/>
        <w:rPr>
          <w:rFonts w:eastAsia="Times New Roman" w:cstheme="minorHAnsi"/>
        </w:rPr>
      </w:pPr>
      <w:r>
        <w:rPr>
          <w:rFonts w:eastAsia="Times New Roman" w:cstheme="minorHAnsi"/>
        </w:rPr>
        <w:t>Transcurridos 6 meses del ejercicio 2023, el Plan Plurianual 2021-2023 de la ESSSCAN sigue vigente</w:t>
      </w:r>
      <w:r w:rsidR="004E7D41">
        <w:rPr>
          <w:rFonts w:eastAsia="Times New Roman" w:cstheme="minorHAnsi"/>
        </w:rPr>
        <w:t>,</w:t>
      </w:r>
      <w:r>
        <w:rPr>
          <w:rFonts w:eastAsia="Times New Roman" w:cstheme="minorHAnsi"/>
        </w:rPr>
        <w:t xml:space="preserve"> pero ha sido objeto de una nueva revisión que pretende concretar aún más la</w:t>
      </w:r>
      <w:r w:rsidR="004E7D41">
        <w:rPr>
          <w:rFonts w:eastAsia="Times New Roman" w:cstheme="minorHAnsi"/>
        </w:rPr>
        <w:t xml:space="preserve">s actividades a desarrollar específicamente vinculadas a cada uno de los objetivos estratégicos que conforman el Plan, para facilitar su cuantificación a partir de diferentes indicadores. </w:t>
      </w:r>
    </w:p>
    <w:p w:rsidR="00B922C9" w:rsidRDefault="004E7D41" w:rsidP="00B922C9">
      <w:pPr>
        <w:spacing w:after="160" w:line="259" w:lineRule="auto"/>
        <w:jc w:val="both"/>
        <w:rPr>
          <w:rFonts w:eastAsia="Times New Roman" w:cstheme="minorHAnsi"/>
        </w:rPr>
      </w:pPr>
      <w:r>
        <w:rPr>
          <w:rFonts w:eastAsia="Times New Roman" w:cstheme="minorHAnsi"/>
        </w:rPr>
        <w:t>Los objetivos estratégicos siguen siendo:</w:t>
      </w:r>
    </w:p>
    <w:p w:rsidR="00B922C9" w:rsidRPr="00B922C9" w:rsidRDefault="00B922C9" w:rsidP="00B922C9">
      <w:pPr>
        <w:spacing w:after="160" w:line="259" w:lineRule="auto"/>
        <w:ind w:left="357"/>
        <w:jc w:val="both"/>
        <w:rPr>
          <w:rFonts w:eastAsia="Times New Roman" w:cstheme="minorHAnsi"/>
        </w:rPr>
      </w:pPr>
      <w:r w:rsidRPr="00B922C9">
        <w:rPr>
          <w:rFonts w:eastAsia="Times New Roman" w:cstheme="minorHAnsi"/>
        </w:rPr>
        <w:t xml:space="preserve">1) Desarrollar una transformación digital para lograr un sistema integrado de gestión que agilice los procesos de trabajo, mejore la prestación de servicios y permita a su vez la interconexión entre los diferentes aplicativos de gestión y la plataforma docente. </w:t>
      </w:r>
    </w:p>
    <w:p w:rsidR="00B922C9" w:rsidRPr="00B922C9" w:rsidRDefault="00B922C9" w:rsidP="00B922C9">
      <w:pPr>
        <w:spacing w:after="160" w:line="259" w:lineRule="auto"/>
        <w:ind w:left="357"/>
        <w:jc w:val="both"/>
        <w:rPr>
          <w:rFonts w:eastAsia="Times New Roman" w:cstheme="minorHAnsi"/>
        </w:rPr>
      </w:pPr>
      <w:r w:rsidRPr="00B922C9">
        <w:rPr>
          <w:rFonts w:eastAsia="Times New Roman" w:cstheme="minorHAnsi"/>
        </w:rPr>
        <w:t xml:space="preserve">2) Mejorar la apertura al exterior, potenciando su función de formación estratégica, previa detección de carencias formativas en el ámbito sanitario y social, generando conocimiento e investigación y potenciando la comunicación entre la Escuela, los alumnos y ciudadanos. </w:t>
      </w:r>
    </w:p>
    <w:p w:rsidR="004E7D41" w:rsidRDefault="00B922C9" w:rsidP="004E7D41">
      <w:pPr>
        <w:spacing w:after="160" w:line="259" w:lineRule="auto"/>
        <w:ind w:left="360"/>
        <w:contextualSpacing/>
        <w:jc w:val="both"/>
        <w:rPr>
          <w:rFonts w:eastAsia="Times New Roman" w:cstheme="minorHAnsi"/>
        </w:rPr>
      </w:pPr>
      <w:r w:rsidRPr="00B922C9">
        <w:rPr>
          <w:rFonts w:eastAsia="Times New Roman" w:cstheme="minorHAnsi"/>
        </w:rPr>
        <w:t xml:space="preserve">3) Establecer una estructura funcional coherente a partir de procedimientos optimizados adaptados al sistema de gestión informático integral (mencionado en el objetivo 1), que facilite el cumplimiento de la misión de la ESSSCAN de forma eficaz y eficiente.  </w:t>
      </w:r>
    </w:p>
    <w:p w:rsidR="004E7D41" w:rsidRDefault="004E7D41" w:rsidP="004E7D41">
      <w:pPr>
        <w:spacing w:after="160" w:line="259" w:lineRule="auto"/>
        <w:ind w:left="360"/>
        <w:contextualSpacing/>
        <w:jc w:val="both"/>
        <w:rPr>
          <w:rFonts w:eastAsia="Times New Roman" w:cstheme="minorHAnsi"/>
        </w:rPr>
      </w:pPr>
    </w:p>
    <w:p w:rsidR="004E7D41" w:rsidRDefault="004E7D41" w:rsidP="004E7D41">
      <w:pPr>
        <w:spacing w:after="160" w:line="259" w:lineRule="auto"/>
        <w:contextualSpacing/>
        <w:jc w:val="both"/>
        <w:rPr>
          <w:rFonts w:eastAsia="Times New Roman" w:cstheme="minorHAnsi"/>
        </w:rPr>
      </w:pPr>
      <w:r>
        <w:rPr>
          <w:rFonts w:eastAsia="Times New Roman" w:cstheme="minorHAnsi"/>
        </w:rPr>
        <w:t xml:space="preserve">Por su parte, las actuaciones a desarrollar vinculadas específicamente a cada uno de ellos, pasarán a ser cuantificadas a partir de los siguientes indicadores: </w:t>
      </w:r>
    </w:p>
    <w:p w:rsidR="004E7D41" w:rsidRDefault="004E7D41" w:rsidP="004E7D41">
      <w:pPr>
        <w:spacing w:after="160" w:line="259" w:lineRule="auto"/>
        <w:contextualSpacing/>
        <w:jc w:val="both"/>
        <w:rPr>
          <w:rFonts w:eastAsia="Times New Roman" w:cstheme="minorHAnsi"/>
        </w:rPr>
      </w:pPr>
    </w:p>
    <w:p w:rsidR="004E7D41" w:rsidRPr="004E7D41" w:rsidRDefault="004E7D41" w:rsidP="004E7D41">
      <w:pPr>
        <w:spacing w:after="160" w:line="259" w:lineRule="auto"/>
        <w:jc w:val="both"/>
        <w:rPr>
          <w:rFonts w:eastAsia="Times New Roman"/>
        </w:rPr>
      </w:pPr>
      <w:r w:rsidRPr="004E7D41">
        <w:rPr>
          <w:rFonts w:eastAsia="Times New Roman"/>
          <w:b/>
          <w:u w:val="single"/>
        </w:rPr>
        <w:t>Actuación 1_Objetivo ESTRATÉGICO 1</w:t>
      </w:r>
      <w:r w:rsidRPr="004E7D41">
        <w:rPr>
          <w:rFonts w:eastAsia="Times New Roman"/>
          <w:b/>
        </w:rPr>
        <w:t>:</w:t>
      </w:r>
      <w:r w:rsidRPr="004E7D41">
        <w:rPr>
          <w:rFonts w:eastAsia="Times New Roman"/>
        </w:rPr>
        <w:t xml:space="preserve"> Desarrollar una transformación digital para lograr un sistema integrado de gestión que agilice los procesos de trabajo, mejore la prestación de servicios y permita a su vez la interconexión entre los diferentes aplicativos de gestión y la plataforma docente.</w:t>
      </w:r>
    </w:p>
    <w:p w:rsidR="004E7D41" w:rsidRPr="004E7D41" w:rsidRDefault="004E7D41" w:rsidP="004E7D41">
      <w:pPr>
        <w:spacing w:after="160" w:line="259" w:lineRule="auto"/>
        <w:jc w:val="both"/>
        <w:rPr>
          <w:rFonts w:eastAsia="Times New Roman"/>
        </w:rPr>
      </w:pPr>
      <w:r w:rsidRPr="004E7D41">
        <w:rPr>
          <w:rFonts w:eastAsia="Times New Roman"/>
          <w:b/>
        </w:rPr>
        <w:t>Coste de la actuación</w:t>
      </w:r>
      <w:r w:rsidRPr="004E7D41">
        <w:rPr>
          <w:rFonts w:eastAsia="Times New Roman"/>
        </w:rPr>
        <w:t>: 100.000 euros</w:t>
      </w:r>
    </w:p>
    <w:p w:rsidR="004E7D41" w:rsidRDefault="004E7D41" w:rsidP="004E7D41">
      <w:pPr>
        <w:spacing w:after="160" w:line="259" w:lineRule="auto"/>
        <w:jc w:val="both"/>
        <w:rPr>
          <w:rFonts w:eastAsia="Times New Roman"/>
          <w:b/>
        </w:rPr>
      </w:pPr>
    </w:p>
    <w:p w:rsidR="004E7D41" w:rsidRPr="004E7D41" w:rsidRDefault="004E7D41" w:rsidP="004E7D41">
      <w:pPr>
        <w:spacing w:after="160" w:line="259" w:lineRule="auto"/>
        <w:jc w:val="both"/>
        <w:rPr>
          <w:rFonts w:eastAsia="Times New Roman"/>
        </w:rPr>
      </w:pPr>
      <w:r w:rsidRPr="004E7D41">
        <w:rPr>
          <w:rFonts w:eastAsia="Times New Roman"/>
          <w:b/>
        </w:rPr>
        <w:t>Periodo de realización</w:t>
      </w:r>
      <w:proofErr w:type="gramStart"/>
      <w:r w:rsidRPr="004E7D41">
        <w:rPr>
          <w:rFonts w:eastAsia="Times New Roman"/>
        </w:rPr>
        <w:t>:  2023</w:t>
      </w:r>
      <w:proofErr w:type="gramEnd"/>
      <w:r w:rsidRPr="004E7D41">
        <w:rPr>
          <w:rFonts w:eastAsia="Times New Roman"/>
        </w:rPr>
        <w:t xml:space="preserve"> y 2024</w:t>
      </w:r>
    </w:p>
    <w:tbl>
      <w:tblPr>
        <w:tblStyle w:val="Tablaconcuadrcula"/>
        <w:tblW w:w="0" w:type="auto"/>
        <w:jc w:val="center"/>
        <w:tblLook w:val="04A0"/>
      </w:tblPr>
      <w:tblGrid>
        <w:gridCol w:w="5316"/>
        <w:gridCol w:w="1842"/>
        <w:gridCol w:w="1105"/>
        <w:gridCol w:w="1699"/>
      </w:tblGrid>
      <w:tr w:rsidR="004E7D41" w:rsidRPr="004E7D41" w:rsidTr="00E76945">
        <w:trPr>
          <w:jc w:val="center"/>
        </w:trPr>
        <w:tc>
          <w:tcPr>
            <w:tcW w:w="0" w:type="auto"/>
            <w:vAlign w:val="center"/>
          </w:tcPr>
          <w:p w:rsidR="004E7D41" w:rsidRPr="004E7D41" w:rsidRDefault="004E7D41" w:rsidP="004E7D41">
            <w:pPr>
              <w:rPr>
                <w:rFonts w:eastAsia="Times New Roman" w:cs="Times New Roman"/>
                <w:bCs/>
                <w:color w:val="000000" w:themeColor="text1"/>
              </w:rPr>
            </w:pPr>
          </w:p>
          <w:p w:rsidR="004E7D41" w:rsidRPr="004E7D41" w:rsidRDefault="004E7D41" w:rsidP="004E7D41">
            <w:pPr>
              <w:rPr>
                <w:rFonts w:eastAsia="Times New Roman" w:cs="Times New Roman"/>
                <w:bCs/>
                <w:color w:val="000000" w:themeColor="text1"/>
              </w:rPr>
            </w:pPr>
            <w:r w:rsidRPr="004E7D41">
              <w:rPr>
                <w:rFonts w:eastAsia="Times New Roman" w:cs="Times New Roman"/>
                <w:bCs/>
                <w:color w:val="000000" w:themeColor="text1"/>
              </w:rPr>
              <w:t>Denominación del INDICADOR</w:t>
            </w:r>
          </w:p>
          <w:p w:rsidR="004E7D41" w:rsidRPr="004E7D41" w:rsidRDefault="004E7D41" w:rsidP="004E7D41">
            <w:pPr>
              <w:rPr>
                <w:rFonts w:eastAsia="Times New Roman" w:cs="Times New Roman"/>
                <w:color w:val="000000" w:themeColor="text1"/>
              </w:rPr>
            </w:pPr>
          </w:p>
        </w:tc>
        <w:tc>
          <w:tcPr>
            <w:tcW w:w="0" w:type="auto"/>
            <w:vAlign w:val="center"/>
          </w:tcPr>
          <w:p w:rsidR="004E7D41" w:rsidRPr="004E7D41" w:rsidRDefault="004E7D41" w:rsidP="004E7D41">
            <w:pPr>
              <w:ind w:right="33"/>
              <w:jc w:val="center"/>
              <w:rPr>
                <w:rFonts w:eastAsia="Times New Roman" w:cs="Times New Roman"/>
                <w:bCs/>
                <w:color w:val="000000" w:themeColor="text1"/>
              </w:rPr>
            </w:pPr>
            <w:r w:rsidRPr="004E7D41">
              <w:rPr>
                <w:rFonts w:eastAsia="Times New Roman" w:cs="Times New Roman"/>
                <w:bCs/>
                <w:color w:val="000000" w:themeColor="text1"/>
              </w:rPr>
              <w:t>Unidad de medida</w:t>
            </w:r>
          </w:p>
        </w:tc>
        <w:tc>
          <w:tcPr>
            <w:tcW w:w="0" w:type="auto"/>
            <w:vAlign w:val="center"/>
          </w:tcPr>
          <w:p w:rsidR="004E7D41" w:rsidRPr="004E7D41" w:rsidRDefault="004E7D41" w:rsidP="004E7D41">
            <w:pPr>
              <w:ind w:right="-104"/>
              <w:jc w:val="center"/>
              <w:rPr>
                <w:rFonts w:eastAsia="Times New Roman" w:cs="Times New Roman"/>
                <w:bCs/>
                <w:color w:val="000000" w:themeColor="text1"/>
              </w:rPr>
            </w:pPr>
            <w:r w:rsidRPr="004E7D41">
              <w:rPr>
                <w:rFonts w:eastAsia="Times New Roman" w:cs="Times New Roman"/>
                <w:bCs/>
                <w:color w:val="000000" w:themeColor="text1"/>
              </w:rPr>
              <w:t>Meta anual</w:t>
            </w:r>
          </w:p>
        </w:tc>
        <w:tc>
          <w:tcPr>
            <w:tcW w:w="0" w:type="auto"/>
            <w:vAlign w:val="center"/>
          </w:tcPr>
          <w:p w:rsidR="004E7D41" w:rsidRPr="004E7D41" w:rsidRDefault="004E7D41" w:rsidP="004E7D41">
            <w:pPr>
              <w:ind w:right="-104"/>
              <w:jc w:val="center"/>
              <w:rPr>
                <w:rFonts w:eastAsia="Times New Roman" w:cs="Times New Roman"/>
                <w:bCs/>
                <w:color w:val="000000" w:themeColor="text1"/>
              </w:rPr>
            </w:pPr>
            <w:r w:rsidRPr="004E7D41">
              <w:rPr>
                <w:rFonts w:eastAsia="Times New Roman" w:cs="Times New Roman"/>
                <w:bCs/>
                <w:color w:val="000000" w:themeColor="text1"/>
              </w:rPr>
              <w:t>Meta periodo PED</w:t>
            </w:r>
          </w:p>
        </w:tc>
      </w:tr>
      <w:tr w:rsidR="004E7D41" w:rsidRPr="004E7D41" w:rsidTr="00E76945">
        <w:trPr>
          <w:jc w:val="center"/>
        </w:trPr>
        <w:tc>
          <w:tcPr>
            <w:tcW w:w="0" w:type="auto"/>
            <w:vAlign w:val="center"/>
          </w:tcPr>
          <w:p w:rsidR="004E7D41" w:rsidRPr="004E7D41" w:rsidRDefault="004E7D41" w:rsidP="004E7D41">
            <w:pPr>
              <w:rPr>
                <w:rFonts w:eastAsia="Times New Roman" w:cs="Times New Roman"/>
                <w:bCs/>
                <w:color w:val="000000" w:themeColor="text1"/>
              </w:rPr>
            </w:pPr>
            <w:r w:rsidRPr="004E7D41">
              <w:rPr>
                <w:rFonts w:eastAsia="Times New Roman" w:cs="Times New Roman"/>
                <w:bCs/>
                <w:color w:val="000000" w:themeColor="text1"/>
              </w:rPr>
              <w:t>% de establecimiento de un programa de gestión integrado</w:t>
            </w:r>
          </w:p>
        </w:tc>
        <w:tc>
          <w:tcPr>
            <w:tcW w:w="0" w:type="auto"/>
            <w:vAlign w:val="center"/>
          </w:tcPr>
          <w:p w:rsidR="004E7D41" w:rsidRPr="004E7D41" w:rsidRDefault="004E7D41" w:rsidP="004E7D41">
            <w:pPr>
              <w:ind w:right="33"/>
              <w:jc w:val="center"/>
              <w:rPr>
                <w:rFonts w:eastAsia="Times New Roman" w:cs="Times New Roman"/>
                <w:bCs/>
                <w:color w:val="000000" w:themeColor="text1"/>
              </w:rPr>
            </w:pPr>
            <w:r w:rsidRPr="004E7D41">
              <w:rPr>
                <w:rFonts w:eastAsia="Times New Roman" w:cs="Times New Roman"/>
                <w:bCs/>
                <w:color w:val="000000" w:themeColor="text1"/>
              </w:rPr>
              <w:t>%</w:t>
            </w:r>
          </w:p>
        </w:tc>
        <w:tc>
          <w:tcPr>
            <w:tcW w:w="0" w:type="auto"/>
            <w:vAlign w:val="center"/>
          </w:tcPr>
          <w:p w:rsidR="004E7D41" w:rsidRPr="004E7D41" w:rsidRDefault="004E7D41" w:rsidP="004E7D41">
            <w:pPr>
              <w:ind w:right="-104"/>
              <w:jc w:val="center"/>
              <w:rPr>
                <w:rFonts w:eastAsia="Times New Roman" w:cs="Times New Roman"/>
                <w:bCs/>
                <w:color w:val="000000" w:themeColor="text1"/>
              </w:rPr>
            </w:pPr>
            <w:r w:rsidRPr="004E7D41">
              <w:rPr>
                <w:rFonts w:eastAsia="Times New Roman" w:cs="Times New Roman"/>
                <w:bCs/>
                <w:color w:val="000000" w:themeColor="text1"/>
              </w:rPr>
              <w:t>50</w:t>
            </w:r>
          </w:p>
        </w:tc>
        <w:tc>
          <w:tcPr>
            <w:tcW w:w="0" w:type="auto"/>
            <w:vAlign w:val="center"/>
          </w:tcPr>
          <w:p w:rsidR="004E7D41" w:rsidRPr="004E7D41" w:rsidRDefault="004E7D41" w:rsidP="004E7D41">
            <w:pPr>
              <w:ind w:right="-104"/>
              <w:jc w:val="center"/>
              <w:rPr>
                <w:rFonts w:eastAsia="Times New Roman" w:cs="Times New Roman"/>
                <w:bCs/>
                <w:color w:val="000000" w:themeColor="text1"/>
              </w:rPr>
            </w:pPr>
            <w:r w:rsidRPr="004E7D41">
              <w:rPr>
                <w:rFonts w:eastAsia="Times New Roman" w:cs="Times New Roman"/>
                <w:bCs/>
                <w:color w:val="000000" w:themeColor="text1"/>
              </w:rPr>
              <w:t>100</w:t>
            </w:r>
          </w:p>
        </w:tc>
      </w:tr>
    </w:tbl>
    <w:p w:rsidR="004E7D41" w:rsidRPr="004E7D41" w:rsidRDefault="004E7D41" w:rsidP="004E7D41">
      <w:pPr>
        <w:spacing w:after="160" w:line="259" w:lineRule="auto"/>
        <w:jc w:val="both"/>
        <w:rPr>
          <w:rFonts w:eastAsia="Times New Roman"/>
        </w:rPr>
      </w:pPr>
    </w:p>
    <w:p w:rsidR="004E7D41" w:rsidRDefault="004E7D41" w:rsidP="004E7D41">
      <w:pPr>
        <w:spacing w:after="160" w:line="259" w:lineRule="auto"/>
        <w:jc w:val="both"/>
        <w:rPr>
          <w:rFonts w:eastAsia="Times New Roman"/>
          <w:b/>
        </w:rPr>
      </w:pPr>
    </w:p>
    <w:p w:rsidR="004E7D41" w:rsidRPr="004E7D41" w:rsidRDefault="004E7D41" w:rsidP="004E7D41">
      <w:pPr>
        <w:spacing w:after="160" w:line="259" w:lineRule="auto"/>
        <w:jc w:val="both"/>
        <w:rPr>
          <w:rFonts w:eastAsia="Times New Roman"/>
        </w:rPr>
      </w:pPr>
      <w:r w:rsidRPr="004E7D41">
        <w:rPr>
          <w:rFonts w:eastAsia="Times New Roman"/>
          <w:b/>
          <w:u w:val="single"/>
        </w:rPr>
        <w:t>Actuación 2_Objetivo ESTRATÉGICO 2</w:t>
      </w:r>
      <w:r w:rsidRPr="004E7D41">
        <w:rPr>
          <w:rFonts w:eastAsia="Times New Roman"/>
          <w:b/>
        </w:rPr>
        <w:t>:</w:t>
      </w:r>
      <w:r w:rsidRPr="004E7D41">
        <w:rPr>
          <w:rFonts w:eastAsia="Times New Roman"/>
        </w:rPr>
        <w:t xml:space="preserve"> Mejorar la apertura al exterior, potenciando su función de formación estratégica, previa detección de carencias formativas en el ámbito sanitario y social, generando conocimiento e investigación y potenciando la comunicación entre la Escuela, los alumnos y ciudadanos. </w:t>
      </w:r>
    </w:p>
    <w:p w:rsidR="004E7D41" w:rsidRPr="004E7D41" w:rsidRDefault="004E7D41" w:rsidP="004E7D41">
      <w:pPr>
        <w:spacing w:after="160" w:line="259" w:lineRule="auto"/>
        <w:jc w:val="both"/>
        <w:rPr>
          <w:rFonts w:eastAsia="Times New Roman"/>
        </w:rPr>
      </w:pPr>
      <w:r w:rsidRPr="004E7D41">
        <w:rPr>
          <w:rFonts w:eastAsia="Times New Roman"/>
          <w:b/>
        </w:rPr>
        <w:t>Coste de la actuación</w:t>
      </w:r>
      <w:r w:rsidRPr="004E7D41">
        <w:rPr>
          <w:rFonts w:eastAsia="Times New Roman"/>
        </w:rPr>
        <w:t>: 60.000 euros</w:t>
      </w:r>
    </w:p>
    <w:p w:rsidR="004E7D41" w:rsidRPr="004E7D41" w:rsidRDefault="004E7D41" w:rsidP="004E7D41">
      <w:pPr>
        <w:spacing w:after="160" w:line="259" w:lineRule="auto"/>
        <w:jc w:val="both"/>
        <w:rPr>
          <w:rFonts w:eastAsia="Times New Roman"/>
        </w:rPr>
      </w:pPr>
      <w:r w:rsidRPr="004E7D41">
        <w:rPr>
          <w:rFonts w:eastAsia="Times New Roman"/>
          <w:b/>
        </w:rPr>
        <w:t>Periodo realización</w:t>
      </w:r>
      <w:r w:rsidRPr="004E7D41">
        <w:rPr>
          <w:rFonts w:eastAsia="Times New Roman"/>
        </w:rPr>
        <w:t>: A lo largo del año 202</w:t>
      </w:r>
      <w:r>
        <w:rPr>
          <w:rFonts w:eastAsia="Times New Roman"/>
        </w:rPr>
        <w:t>3-2</w:t>
      </w:r>
      <w:r w:rsidRPr="004E7D41">
        <w:rPr>
          <w:rFonts w:eastAsia="Times New Roman"/>
        </w:rPr>
        <w:t>4</w:t>
      </w:r>
    </w:p>
    <w:tbl>
      <w:tblPr>
        <w:tblStyle w:val="Tablaconcuadrcula"/>
        <w:tblW w:w="0" w:type="auto"/>
        <w:jc w:val="center"/>
        <w:tblLook w:val="04A0"/>
      </w:tblPr>
      <w:tblGrid>
        <w:gridCol w:w="6840"/>
        <w:gridCol w:w="1234"/>
        <w:gridCol w:w="775"/>
        <w:gridCol w:w="1113"/>
      </w:tblGrid>
      <w:tr w:rsidR="004E7D41" w:rsidRPr="004E7D41" w:rsidTr="00E76945">
        <w:trPr>
          <w:jc w:val="center"/>
        </w:trPr>
        <w:tc>
          <w:tcPr>
            <w:tcW w:w="0" w:type="auto"/>
            <w:vAlign w:val="center"/>
          </w:tcPr>
          <w:p w:rsidR="004E7D41" w:rsidRPr="004E7D41" w:rsidRDefault="004E7D41" w:rsidP="004E7D41">
            <w:pPr>
              <w:rPr>
                <w:rFonts w:eastAsia="Times New Roman" w:cs="Times New Roman"/>
                <w:bCs/>
                <w:color w:val="000000" w:themeColor="text1"/>
              </w:rPr>
            </w:pPr>
          </w:p>
          <w:p w:rsidR="004E7D41" w:rsidRPr="004E7D41" w:rsidRDefault="004E7D41" w:rsidP="004E7D41">
            <w:pPr>
              <w:rPr>
                <w:rFonts w:eastAsia="Times New Roman" w:cs="Times New Roman"/>
                <w:bCs/>
                <w:color w:val="000000" w:themeColor="text1"/>
              </w:rPr>
            </w:pPr>
            <w:r w:rsidRPr="004E7D41">
              <w:rPr>
                <w:rFonts w:eastAsia="Times New Roman" w:cs="Times New Roman"/>
                <w:bCs/>
                <w:color w:val="000000" w:themeColor="text1"/>
              </w:rPr>
              <w:t>Denominación del INDICADOR</w:t>
            </w:r>
          </w:p>
          <w:p w:rsidR="004E7D41" w:rsidRPr="004E7D41" w:rsidRDefault="004E7D41" w:rsidP="004E7D41">
            <w:pPr>
              <w:rPr>
                <w:rFonts w:eastAsia="Times New Roman" w:cs="Times New Roman"/>
                <w:color w:val="000000" w:themeColor="text1"/>
              </w:rPr>
            </w:pPr>
          </w:p>
        </w:tc>
        <w:tc>
          <w:tcPr>
            <w:tcW w:w="0" w:type="auto"/>
            <w:vAlign w:val="center"/>
          </w:tcPr>
          <w:p w:rsidR="004E7D41" w:rsidRPr="004E7D41" w:rsidRDefault="004E7D41" w:rsidP="004E7D41">
            <w:pPr>
              <w:ind w:right="33"/>
              <w:jc w:val="center"/>
              <w:rPr>
                <w:rFonts w:eastAsia="Times New Roman" w:cs="Times New Roman"/>
                <w:bCs/>
                <w:color w:val="000000" w:themeColor="text1"/>
              </w:rPr>
            </w:pPr>
            <w:r w:rsidRPr="004E7D41">
              <w:rPr>
                <w:rFonts w:eastAsia="Times New Roman" w:cs="Times New Roman"/>
                <w:bCs/>
                <w:color w:val="000000" w:themeColor="text1"/>
              </w:rPr>
              <w:t>Unidad de medida</w:t>
            </w:r>
          </w:p>
        </w:tc>
        <w:tc>
          <w:tcPr>
            <w:tcW w:w="0" w:type="auto"/>
            <w:vAlign w:val="center"/>
          </w:tcPr>
          <w:p w:rsidR="004E7D41" w:rsidRPr="004E7D41" w:rsidRDefault="004E7D41" w:rsidP="004E7D41">
            <w:pPr>
              <w:ind w:right="-104"/>
              <w:jc w:val="center"/>
              <w:rPr>
                <w:rFonts w:eastAsia="Times New Roman" w:cs="Times New Roman"/>
                <w:bCs/>
                <w:color w:val="000000" w:themeColor="text1"/>
              </w:rPr>
            </w:pPr>
            <w:r w:rsidRPr="004E7D41">
              <w:rPr>
                <w:rFonts w:eastAsia="Times New Roman" w:cs="Times New Roman"/>
                <w:bCs/>
                <w:color w:val="000000" w:themeColor="text1"/>
              </w:rPr>
              <w:t>Meta anual</w:t>
            </w:r>
          </w:p>
        </w:tc>
        <w:tc>
          <w:tcPr>
            <w:tcW w:w="0" w:type="auto"/>
            <w:vAlign w:val="center"/>
          </w:tcPr>
          <w:p w:rsidR="004E7D41" w:rsidRPr="004E7D41" w:rsidRDefault="004E7D41" w:rsidP="004E7D41">
            <w:pPr>
              <w:ind w:right="-104"/>
              <w:jc w:val="center"/>
              <w:rPr>
                <w:rFonts w:eastAsia="Times New Roman" w:cs="Times New Roman"/>
                <w:bCs/>
                <w:color w:val="000000" w:themeColor="text1"/>
              </w:rPr>
            </w:pPr>
            <w:r w:rsidRPr="004E7D41">
              <w:rPr>
                <w:rFonts w:eastAsia="Times New Roman" w:cs="Times New Roman"/>
                <w:bCs/>
                <w:color w:val="000000" w:themeColor="text1"/>
              </w:rPr>
              <w:t>Meta periodo PED</w:t>
            </w:r>
          </w:p>
        </w:tc>
      </w:tr>
      <w:tr w:rsidR="004E7D41" w:rsidRPr="004E7D41" w:rsidTr="00E76945">
        <w:trPr>
          <w:jc w:val="center"/>
        </w:trPr>
        <w:tc>
          <w:tcPr>
            <w:tcW w:w="0" w:type="auto"/>
            <w:vAlign w:val="center"/>
          </w:tcPr>
          <w:p w:rsidR="004E7D41" w:rsidRPr="004E7D41" w:rsidRDefault="004E7D41" w:rsidP="004E7D41">
            <w:pPr>
              <w:ind w:right="-106"/>
              <w:rPr>
                <w:rFonts w:eastAsia="Times New Roman" w:cs="Times New Roman"/>
              </w:rPr>
            </w:pPr>
            <w:r w:rsidRPr="004E7D41">
              <w:rPr>
                <w:rFonts w:eastAsia="Times New Roman" w:cs="Times New Roman"/>
              </w:rPr>
              <w:t xml:space="preserve">% de mejora de la oferta y generación de conocimiento en el ámbito sanitario y social. Se medirá con la cuantificación detallada de cursos nuevos realizados según su tipología o enfoque disciplinario. </w:t>
            </w:r>
          </w:p>
        </w:tc>
        <w:tc>
          <w:tcPr>
            <w:tcW w:w="0" w:type="auto"/>
            <w:vAlign w:val="center"/>
          </w:tcPr>
          <w:p w:rsidR="004E7D41" w:rsidRPr="004E7D41" w:rsidRDefault="004E7D41" w:rsidP="004E7D41">
            <w:pPr>
              <w:jc w:val="center"/>
              <w:rPr>
                <w:rFonts w:eastAsia="Times New Roman" w:cs="Times New Roman"/>
                <w:color w:val="000000" w:themeColor="text1"/>
              </w:rPr>
            </w:pPr>
            <w:r w:rsidRPr="004E7D41">
              <w:rPr>
                <w:rFonts w:eastAsia="Times New Roman" w:cs="Times New Roman"/>
                <w:color w:val="000000" w:themeColor="text1"/>
              </w:rPr>
              <w:t>%</w:t>
            </w:r>
          </w:p>
        </w:tc>
        <w:tc>
          <w:tcPr>
            <w:tcW w:w="0" w:type="auto"/>
            <w:vAlign w:val="center"/>
          </w:tcPr>
          <w:p w:rsidR="004E7D41" w:rsidRPr="004E7D41" w:rsidRDefault="004E7D41" w:rsidP="004E7D41">
            <w:pPr>
              <w:jc w:val="center"/>
              <w:rPr>
                <w:rFonts w:eastAsia="Times New Roman" w:cs="Times New Roman"/>
              </w:rPr>
            </w:pPr>
            <w:r w:rsidRPr="004E7D41">
              <w:rPr>
                <w:rFonts w:eastAsia="Times New Roman" w:cs="Times New Roman"/>
              </w:rPr>
              <w:t>25</w:t>
            </w:r>
          </w:p>
        </w:tc>
        <w:tc>
          <w:tcPr>
            <w:tcW w:w="0" w:type="auto"/>
            <w:vAlign w:val="center"/>
          </w:tcPr>
          <w:p w:rsidR="004E7D41" w:rsidRPr="004E7D41" w:rsidRDefault="004E7D41" w:rsidP="004E7D41">
            <w:pPr>
              <w:ind w:right="-104"/>
              <w:jc w:val="center"/>
              <w:rPr>
                <w:rFonts w:eastAsia="Times New Roman" w:cs="Times New Roman"/>
                <w:bCs/>
              </w:rPr>
            </w:pPr>
            <w:r w:rsidRPr="004E7D41">
              <w:rPr>
                <w:rFonts w:eastAsia="Times New Roman" w:cs="Times New Roman"/>
                <w:bCs/>
              </w:rPr>
              <w:t>50</w:t>
            </w:r>
          </w:p>
        </w:tc>
      </w:tr>
      <w:tr w:rsidR="004E7D41" w:rsidRPr="004E7D41" w:rsidTr="00E76945">
        <w:trPr>
          <w:jc w:val="center"/>
        </w:trPr>
        <w:tc>
          <w:tcPr>
            <w:tcW w:w="0" w:type="auto"/>
            <w:vAlign w:val="center"/>
          </w:tcPr>
          <w:p w:rsidR="004E7D41" w:rsidRPr="004E7D41" w:rsidRDefault="004E7D41" w:rsidP="004E7D41">
            <w:pPr>
              <w:ind w:right="-106"/>
              <w:rPr>
                <w:rFonts w:eastAsia="Times New Roman" w:cs="Times New Roman"/>
                <w:color w:val="000000" w:themeColor="text1"/>
              </w:rPr>
            </w:pPr>
            <w:r w:rsidRPr="004E7D41">
              <w:rPr>
                <w:rFonts w:eastAsia="Times New Roman" w:cs="Times New Roman"/>
              </w:rPr>
              <w:t xml:space="preserve">% de mejora en la calidad formativa. Se medirá con el seguimiento del nivel de satisfacción de las encuestas realizadas al finalizar la formación. </w:t>
            </w:r>
          </w:p>
        </w:tc>
        <w:tc>
          <w:tcPr>
            <w:tcW w:w="0" w:type="auto"/>
            <w:vAlign w:val="center"/>
          </w:tcPr>
          <w:p w:rsidR="004E7D41" w:rsidRPr="004E7D41" w:rsidRDefault="004E7D41" w:rsidP="004E7D41">
            <w:pPr>
              <w:jc w:val="center"/>
              <w:rPr>
                <w:rFonts w:eastAsia="Times New Roman" w:cs="Times New Roman"/>
                <w:color w:val="000000" w:themeColor="text1"/>
              </w:rPr>
            </w:pPr>
            <w:r w:rsidRPr="004E7D41">
              <w:rPr>
                <w:rFonts w:eastAsia="Times New Roman" w:cs="Times New Roman"/>
                <w:color w:val="000000" w:themeColor="text1"/>
              </w:rPr>
              <w:t>%</w:t>
            </w:r>
          </w:p>
        </w:tc>
        <w:tc>
          <w:tcPr>
            <w:tcW w:w="0" w:type="auto"/>
            <w:vAlign w:val="center"/>
          </w:tcPr>
          <w:p w:rsidR="004E7D41" w:rsidRPr="004E7D41" w:rsidRDefault="004E7D41" w:rsidP="004E7D41">
            <w:pPr>
              <w:jc w:val="center"/>
              <w:rPr>
                <w:rFonts w:eastAsia="Times New Roman" w:cs="Times New Roman"/>
              </w:rPr>
            </w:pPr>
            <w:r w:rsidRPr="004E7D41">
              <w:rPr>
                <w:rFonts w:eastAsia="Times New Roman" w:cs="Times New Roman"/>
              </w:rPr>
              <w:t>25</w:t>
            </w:r>
          </w:p>
        </w:tc>
        <w:tc>
          <w:tcPr>
            <w:tcW w:w="0" w:type="auto"/>
            <w:vAlign w:val="center"/>
          </w:tcPr>
          <w:p w:rsidR="004E7D41" w:rsidRPr="004E7D41" w:rsidRDefault="004E7D41" w:rsidP="004E7D41">
            <w:pPr>
              <w:ind w:right="-104"/>
              <w:jc w:val="center"/>
              <w:rPr>
                <w:rFonts w:eastAsia="Times New Roman" w:cs="Times New Roman"/>
                <w:bCs/>
              </w:rPr>
            </w:pPr>
            <w:r w:rsidRPr="004E7D41">
              <w:rPr>
                <w:rFonts w:eastAsia="Times New Roman" w:cs="Times New Roman"/>
                <w:bCs/>
              </w:rPr>
              <w:t>50</w:t>
            </w:r>
          </w:p>
        </w:tc>
      </w:tr>
      <w:tr w:rsidR="004E7D41" w:rsidRPr="004E7D41" w:rsidTr="00E76945">
        <w:trPr>
          <w:jc w:val="center"/>
        </w:trPr>
        <w:tc>
          <w:tcPr>
            <w:tcW w:w="0" w:type="auto"/>
            <w:vAlign w:val="center"/>
          </w:tcPr>
          <w:p w:rsidR="004E7D41" w:rsidRPr="004E7D41" w:rsidRDefault="004E7D41" w:rsidP="004E7D41">
            <w:pPr>
              <w:ind w:right="-106"/>
              <w:rPr>
                <w:rFonts w:eastAsia="Times New Roman" w:cs="Times New Roman"/>
              </w:rPr>
            </w:pPr>
            <w:r w:rsidRPr="004E7D41">
              <w:rPr>
                <w:rFonts w:eastAsia="Times New Roman" w:cs="Times New Roman"/>
              </w:rPr>
              <w:t>% de crecimiento de las acciones publicitarias y posicionamiento comercial mediante la gestión activa de redes sociales</w:t>
            </w:r>
          </w:p>
        </w:tc>
        <w:tc>
          <w:tcPr>
            <w:tcW w:w="0" w:type="auto"/>
            <w:vAlign w:val="center"/>
          </w:tcPr>
          <w:p w:rsidR="004E7D41" w:rsidRPr="004E7D41" w:rsidRDefault="004E7D41" w:rsidP="004E7D41">
            <w:pPr>
              <w:jc w:val="center"/>
              <w:rPr>
                <w:rFonts w:eastAsia="Times New Roman" w:cs="Times New Roman"/>
                <w:color w:val="000000" w:themeColor="text1"/>
              </w:rPr>
            </w:pPr>
            <w:r w:rsidRPr="004E7D41">
              <w:rPr>
                <w:rFonts w:eastAsia="Times New Roman" w:cs="Times New Roman"/>
                <w:color w:val="000000" w:themeColor="text1"/>
              </w:rPr>
              <w:t>%</w:t>
            </w:r>
          </w:p>
        </w:tc>
        <w:tc>
          <w:tcPr>
            <w:tcW w:w="0" w:type="auto"/>
            <w:vAlign w:val="center"/>
          </w:tcPr>
          <w:p w:rsidR="004E7D41" w:rsidRPr="004E7D41" w:rsidRDefault="004E7D41" w:rsidP="004E7D41">
            <w:pPr>
              <w:jc w:val="center"/>
              <w:rPr>
                <w:rFonts w:eastAsia="Times New Roman" w:cs="Times New Roman"/>
              </w:rPr>
            </w:pPr>
            <w:r w:rsidRPr="004E7D41">
              <w:rPr>
                <w:rFonts w:eastAsia="Times New Roman" w:cs="Times New Roman"/>
              </w:rPr>
              <w:t>25</w:t>
            </w:r>
          </w:p>
        </w:tc>
        <w:tc>
          <w:tcPr>
            <w:tcW w:w="0" w:type="auto"/>
            <w:vAlign w:val="center"/>
          </w:tcPr>
          <w:p w:rsidR="004E7D41" w:rsidRPr="004E7D41" w:rsidRDefault="004E7D41" w:rsidP="004E7D41">
            <w:pPr>
              <w:ind w:right="-104"/>
              <w:jc w:val="center"/>
              <w:rPr>
                <w:rFonts w:eastAsia="Times New Roman" w:cs="Times New Roman"/>
                <w:bCs/>
              </w:rPr>
            </w:pPr>
            <w:r w:rsidRPr="004E7D41">
              <w:rPr>
                <w:rFonts w:eastAsia="Times New Roman" w:cs="Times New Roman"/>
                <w:bCs/>
              </w:rPr>
              <w:t>50</w:t>
            </w:r>
          </w:p>
        </w:tc>
      </w:tr>
    </w:tbl>
    <w:p w:rsidR="004E7D41" w:rsidRPr="004E7D41" w:rsidRDefault="004E7D41" w:rsidP="004E7D41">
      <w:pPr>
        <w:spacing w:after="160" w:line="259" w:lineRule="auto"/>
        <w:jc w:val="both"/>
        <w:rPr>
          <w:rFonts w:eastAsia="Times New Roman"/>
        </w:rPr>
      </w:pPr>
    </w:p>
    <w:p w:rsidR="003F10FA" w:rsidRDefault="003F10FA" w:rsidP="004E7D41">
      <w:pPr>
        <w:spacing w:after="160" w:line="259" w:lineRule="auto"/>
        <w:jc w:val="both"/>
        <w:rPr>
          <w:rFonts w:eastAsia="Times New Roman"/>
          <w:u w:val="single"/>
        </w:rPr>
      </w:pPr>
    </w:p>
    <w:p w:rsidR="004E7D41" w:rsidRPr="004E7D41" w:rsidRDefault="004E7D41" w:rsidP="004E7D41">
      <w:pPr>
        <w:spacing w:after="160" w:line="259" w:lineRule="auto"/>
        <w:jc w:val="both"/>
        <w:rPr>
          <w:rFonts w:eastAsia="Times New Roman"/>
        </w:rPr>
      </w:pPr>
      <w:r w:rsidRPr="003F10FA">
        <w:rPr>
          <w:rFonts w:eastAsia="Times New Roman"/>
          <w:b/>
          <w:u w:val="single"/>
        </w:rPr>
        <w:t>Actuación 3_Objetivo ESTRATÉGICO 3</w:t>
      </w:r>
      <w:r w:rsidRPr="004E7D41">
        <w:rPr>
          <w:rFonts w:eastAsia="Times New Roman"/>
        </w:rPr>
        <w:t xml:space="preserve">: Establecer una estructura funcional coherente a partir de procedimientos optimizados adaptados al sistema de gestión informático integral mencionado en el objetivo 1), que facilite el cumplimiento de la misión de la ESSSCAN de forma eficaz y eficiente.  </w:t>
      </w:r>
    </w:p>
    <w:p w:rsidR="004E7D41" w:rsidRPr="004E7D41" w:rsidRDefault="004E7D41" w:rsidP="004E7D41">
      <w:pPr>
        <w:spacing w:after="160" w:line="259" w:lineRule="auto"/>
        <w:jc w:val="both"/>
        <w:rPr>
          <w:rFonts w:eastAsia="Times New Roman"/>
        </w:rPr>
      </w:pPr>
      <w:r w:rsidRPr="004E7D41">
        <w:rPr>
          <w:rFonts w:eastAsia="Times New Roman"/>
          <w:b/>
        </w:rPr>
        <w:t>Coste de la actuación</w:t>
      </w:r>
      <w:r w:rsidRPr="004E7D41">
        <w:rPr>
          <w:rFonts w:eastAsia="Times New Roman"/>
        </w:rPr>
        <w:t>: 15.000 euros</w:t>
      </w:r>
    </w:p>
    <w:p w:rsidR="004E7D41" w:rsidRPr="004E7D41" w:rsidRDefault="004E7D41" w:rsidP="004E7D41">
      <w:pPr>
        <w:spacing w:after="160" w:line="259" w:lineRule="auto"/>
        <w:jc w:val="both"/>
        <w:rPr>
          <w:rFonts w:eastAsia="Times New Roman"/>
        </w:rPr>
      </w:pPr>
      <w:r w:rsidRPr="004E7D41">
        <w:rPr>
          <w:rFonts w:eastAsia="Times New Roman"/>
          <w:b/>
        </w:rPr>
        <w:t>Periodo realización</w:t>
      </w:r>
      <w:r w:rsidRPr="004E7D41">
        <w:rPr>
          <w:rFonts w:eastAsia="Times New Roman"/>
        </w:rPr>
        <w:t>: A lo largo del año 202</w:t>
      </w:r>
      <w:r>
        <w:rPr>
          <w:rFonts w:eastAsia="Times New Roman"/>
        </w:rPr>
        <w:t>3-24</w:t>
      </w:r>
    </w:p>
    <w:tbl>
      <w:tblPr>
        <w:tblStyle w:val="Tablaconcuadrcula"/>
        <w:tblW w:w="0" w:type="auto"/>
        <w:jc w:val="center"/>
        <w:tblLook w:val="04A0"/>
      </w:tblPr>
      <w:tblGrid>
        <w:gridCol w:w="5602"/>
        <w:gridCol w:w="1728"/>
        <w:gridCol w:w="1043"/>
        <w:gridCol w:w="1589"/>
      </w:tblGrid>
      <w:tr w:rsidR="004E7D41" w:rsidRPr="004E7D41" w:rsidTr="00E76945">
        <w:trPr>
          <w:jc w:val="center"/>
        </w:trPr>
        <w:tc>
          <w:tcPr>
            <w:tcW w:w="0" w:type="auto"/>
            <w:vAlign w:val="center"/>
          </w:tcPr>
          <w:p w:rsidR="004E7D41" w:rsidRPr="004E7D41" w:rsidRDefault="004E7D41" w:rsidP="004E7D41">
            <w:pPr>
              <w:rPr>
                <w:rFonts w:eastAsia="Times New Roman" w:cs="Times New Roman"/>
                <w:bCs/>
                <w:color w:val="000000" w:themeColor="text1"/>
              </w:rPr>
            </w:pPr>
          </w:p>
          <w:p w:rsidR="004E7D41" w:rsidRPr="004E7D41" w:rsidRDefault="004E7D41" w:rsidP="004E7D41">
            <w:pPr>
              <w:rPr>
                <w:rFonts w:eastAsia="Times New Roman" w:cs="Times New Roman"/>
                <w:bCs/>
                <w:color w:val="000000" w:themeColor="text1"/>
              </w:rPr>
            </w:pPr>
            <w:r w:rsidRPr="004E7D41">
              <w:rPr>
                <w:rFonts w:eastAsia="Times New Roman" w:cs="Times New Roman"/>
                <w:bCs/>
                <w:color w:val="000000" w:themeColor="text1"/>
              </w:rPr>
              <w:t>Denominación del INDICADOR</w:t>
            </w:r>
          </w:p>
          <w:p w:rsidR="004E7D41" w:rsidRPr="004E7D41" w:rsidRDefault="004E7D41" w:rsidP="004E7D41">
            <w:pPr>
              <w:rPr>
                <w:rFonts w:eastAsia="Times New Roman" w:cs="Times New Roman"/>
                <w:color w:val="000000" w:themeColor="text1"/>
              </w:rPr>
            </w:pPr>
          </w:p>
        </w:tc>
        <w:tc>
          <w:tcPr>
            <w:tcW w:w="0" w:type="auto"/>
            <w:vAlign w:val="center"/>
          </w:tcPr>
          <w:p w:rsidR="004E7D41" w:rsidRPr="004E7D41" w:rsidRDefault="004E7D41" w:rsidP="004E7D41">
            <w:pPr>
              <w:ind w:right="33"/>
              <w:jc w:val="center"/>
              <w:rPr>
                <w:rFonts w:eastAsia="Times New Roman" w:cs="Times New Roman"/>
                <w:bCs/>
                <w:color w:val="000000" w:themeColor="text1"/>
              </w:rPr>
            </w:pPr>
            <w:r w:rsidRPr="004E7D41">
              <w:rPr>
                <w:rFonts w:eastAsia="Times New Roman" w:cs="Times New Roman"/>
                <w:bCs/>
                <w:color w:val="000000" w:themeColor="text1"/>
              </w:rPr>
              <w:t>Unidad de medida</w:t>
            </w:r>
          </w:p>
        </w:tc>
        <w:tc>
          <w:tcPr>
            <w:tcW w:w="0" w:type="auto"/>
            <w:vAlign w:val="center"/>
          </w:tcPr>
          <w:p w:rsidR="004E7D41" w:rsidRPr="004E7D41" w:rsidRDefault="004E7D41" w:rsidP="004E7D41">
            <w:pPr>
              <w:ind w:right="-104"/>
              <w:jc w:val="center"/>
              <w:rPr>
                <w:rFonts w:eastAsia="Times New Roman" w:cs="Times New Roman"/>
                <w:bCs/>
                <w:color w:val="000000" w:themeColor="text1"/>
              </w:rPr>
            </w:pPr>
            <w:r w:rsidRPr="004E7D41">
              <w:rPr>
                <w:rFonts w:eastAsia="Times New Roman" w:cs="Times New Roman"/>
                <w:bCs/>
                <w:color w:val="000000" w:themeColor="text1"/>
              </w:rPr>
              <w:t>Meta anual</w:t>
            </w:r>
          </w:p>
        </w:tc>
        <w:tc>
          <w:tcPr>
            <w:tcW w:w="0" w:type="auto"/>
            <w:vAlign w:val="center"/>
          </w:tcPr>
          <w:p w:rsidR="004E7D41" w:rsidRPr="004E7D41" w:rsidRDefault="004E7D41" w:rsidP="004E7D41">
            <w:pPr>
              <w:ind w:right="-104"/>
              <w:jc w:val="center"/>
              <w:rPr>
                <w:rFonts w:eastAsia="Times New Roman" w:cs="Times New Roman"/>
                <w:bCs/>
                <w:color w:val="000000" w:themeColor="text1"/>
              </w:rPr>
            </w:pPr>
            <w:r w:rsidRPr="004E7D41">
              <w:rPr>
                <w:rFonts w:eastAsia="Times New Roman" w:cs="Times New Roman"/>
                <w:bCs/>
                <w:color w:val="000000" w:themeColor="text1"/>
              </w:rPr>
              <w:t>Meta periodo PED</w:t>
            </w:r>
          </w:p>
        </w:tc>
      </w:tr>
      <w:tr w:rsidR="004E7D41" w:rsidRPr="004E7D41" w:rsidTr="00E76945">
        <w:trPr>
          <w:jc w:val="center"/>
        </w:trPr>
        <w:tc>
          <w:tcPr>
            <w:tcW w:w="0" w:type="auto"/>
            <w:vAlign w:val="center"/>
          </w:tcPr>
          <w:p w:rsidR="004E7D41" w:rsidRPr="004E7D41" w:rsidRDefault="004E7D41" w:rsidP="004E7D41">
            <w:pPr>
              <w:rPr>
                <w:rFonts w:eastAsia="Times New Roman" w:cs="Times New Roman"/>
                <w:bCs/>
                <w:color w:val="000000" w:themeColor="text1"/>
              </w:rPr>
            </w:pPr>
            <w:r w:rsidRPr="004E7D41">
              <w:rPr>
                <w:rFonts w:eastAsia="Times New Roman" w:cs="Times New Roman"/>
                <w:bCs/>
                <w:color w:val="000000" w:themeColor="text1"/>
              </w:rPr>
              <w:t xml:space="preserve">Porcentaje de establecimiento de un sistema de calidad en la Escuela </w:t>
            </w:r>
          </w:p>
        </w:tc>
        <w:tc>
          <w:tcPr>
            <w:tcW w:w="0" w:type="auto"/>
            <w:vAlign w:val="center"/>
          </w:tcPr>
          <w:p w:rsidR="004E7D41" w:rsidRPr="004E7D41" w:rsidRDefault="004E7D41" w:rsidP="004E7D41">
            <w:pPr>
              <w:ind w:right="33"/>
              <w:jc w:val="center"/>
              <w:rPr>
                <w:rFonts w:eastAsia="Times New Roman" w:cs="Times New Roman"/>
                <w:bCs/>
                <w:color w:val="000000" w:themeColor="text1"/>
              </w:rPr>
            </w:pPr>
            <w:r w:rsidRPr="004E7D41">
              <w:rPr>
                <w:rFonts w:eastAsia="Times New Roman" w:cs="Times New Roman"/>
                <w:bCs/>
                <w:color w:val="000000" w:themeColor="text1"/>
              </w:rPr>
              <w:t>%</w:t>
            </w:r>
          </w:p>
        </w:tc>
        <w:tc>
          <w:tcPr>
            <w:tcW w:w="0" w:type="auto"/>
            <w:vAlign w:val="center"/>
          </w:tcPr>
          <w:p w:rsidR="004E7D41" w:rsidRPr="004E7D41" w:rsidRDefault="004E7D41" w:rsidP="004E7D41">
            <w:pPr>
              <w:ind w:right="-104"/>
              <w:jc w:val="center"/>
              <w:rPr>
                <w:rFonts w:eastAsia="Times New Roman" w:cs="Times New Roman"/>
                <w:color w:val="000000" w:themeColor="text1"/>
              </w:rPr>
            </w:pPr>
            <w:r w:rsidRPr="004E7D41">
              <w:rPr>
                <w:rFonts w:eastAsia="Times New Roman" w:cs="Times New Roman"/>
                <w:color w:val="000000" w:themeColor="text1"/>
              </w:rPr>
              <w:t>100</w:t>
            </w:r>
          </w:p>
        </w:tc>
        <w:tc>
          <w:tcPr>
            <w:tcW w:w="0" w:type="auto"/>
            <w:vAlign w:val="center"/>
          </w:tcPr>
          <w:p w:rsidR="004E7D41" w:rsidRPr="004E7D41" w:rsidRDefault="004E7D41" w:rsidP="004E7D41">
            <w:pPr>
              <w:ind w:right="-104"/>
              <w:jc w:val="center"/>
              <w:rPr>
                <w:rFonts w:eastAsia="Times New Roman" w:cs="Times New Roman"/>
                <w:color w:val="000000" w:themeColor="text1"/>
              </w:rPr>
            </w:pPr>
            <w:r w:rsidRPr="004E7D41">
              <w:rPr>
                <w:rFonts w:eastAsia="Times New Roman" w:cs="Times New Roman"/>
                <w:color w:val="000000" w:themeColor="text1"/>
              </w:rPr>
              <w:t>100</w:t>
            </w:r>
          </w:p>
        </w:tc>
      </w:tr>
    </w:tbl>
    <w:p w:rsidR="004E7D41" w:rsidRDefault="004E7D41" w:rsidP="004E7D41">
      <w:pPr>
        <w:spacing w:after="160" w:line="259" w:lineRule="auto"/>
        <w:contextualSpacing/>
        <w:jc w:val="both"/>
        <w:rPr>
          <w:rFonts w:eastAsia="Times New Roman" w:cstheme="minorHAnsi"/>
        </w:rPr>
      </w:pPr>
    </w:p>
    <w:p w:rsidR="004E7D41" w:rsidRDefault="004E7D41" w:rsidP="004E7D41">
      <w:pPr>
        <w:spacing w:after="160" w:line="259" w:lineRule="auto"/>
        <w:ind w:left="360"/>
        <w:contextualSpacing/>
        <w:jc w:val="both"/>
        <w:rPr>
          <w:rFonts w:eastAsia="Times New Roman" w:cstheme="minorHAnsi"/>
        </w:rPr>
      </w:pPr>
    </w:p>
    <w:sectPr w:rsidR="004E7D41" w:rsidSect="00D95049">
      <w:head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2C9" w:rsidRDefault="00B922C9" w:rsidP="00D95049">
      <w:pPr>
        <w:spacing w:after="0" w:line="240" w:lineRule="auto"/>
      </w:pPr>
      <w:r>
        <w:separator/>
      </w:r>
    </w:p>
  </w:endnote>
  <w:endnote w:type="continuationSeparator" w:id="0">
    <w:p w:rsidR="00B922C9" w:rsidRDefault="00B922C9" w:rsidP="00D95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2C9" w:rsidRDefault="00B922C9" w:rsidP="00D95049">
      <w:pPr>
        <w:spacing w:after="0" w:line="240" w:lineRule="auto"/>
      </w:pPr>
      <w:r>
        <w:separator/>
      </w:r>
    </w:p>
  </w:footnote>
  <w:footnote w:type="continuationSeparator" w:id="0">
    <w:p w:rsidR="00B922C9" w:rsidRDefault="00B922C9" w:rsidP="00D95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C9" w:rsidRDefault="00B922C9" w:rsidP="00D95049">
    <w:pPr>
      <w:pStyle w:val="Piedepgina"/>
    </w:pPr>
  </w:p>
  <w:p w:rsidR="00B922C9" w:rsidRDefault="00B922C9" w:rsidP="00701BA2">
    <w:pPr>
      <w:pStyle w:val="Piedepgina"/>
    </w:pPr>
    <w:r w:rsidRPr="00701BA2">
      <w:rPr>
        <w:noProof/>
        <w:lang w:eastAsia="es-ES"/>
      </w:rPr>
      <w:drawing>
        <wp:inline distT="0" distB="0" distL="0" distR="0">
          <wp:extent cx="1913267" cy="577970"/>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14300" cy="578282"/>
                  </a:xfrm>
                  <a:prstGeom prst="rect">
                    <a:avLst/>
                  </a:prstGeom>
                  <a:noFill/>
                  <a:ln w="9525">
                    <a:noFill/>
                    <a:miter lim="800000"/>
                    <a:headEnd/>
                    <a:tailEnd/>
                  </a:ln>
                </pic:spPr>
              </pic:pic>
            </a:graphicData>
          </a:graphic>
        </wp:inline>
      </w:drawing>
    </w:r>
    <w:r>
      <w:tab/>
      <w:t xml:space="preserve">                            Última actualización: </w:t>
    </w:r>
    <w:fldSimple w:instr=" TIME \@ &quot;dddd, dd' de 'MMMM' de 'yyyy&quot; ">
      <w:r w:rsidR="003F10FA">
        <w:rPr>
          <w:noProof/>
        </w:rPr>
        <w:t>viernes, 20 de octubre de 2023</w:t>
      </w:r>
    </w:fldSimple>
  </w:p>
  <w:p w:rsidR="00B922C9" w:rsidRPr="00D95049" w:rsidRDefault="00B922C9" w:rsidP="00D9504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3D74"/>
    <w:multiLevelType w:val="hybridMultilevel"/>
    <w:tmpl w:val="13D64A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367475"/>
    <w:multiLevelType w:val="hybridMultilevel"/>
    <w:tmpl w:val="124E8D24"/>
    <w:lvl w:ilvl="0" w:tplc="0C0A0001">
      <w:start w:val="1"/>
      <w:numFmt w:val="bullet"/>
      <w:lvlText w:val=""/>
      <w:lvlJc w:val="left"/>
      <w:pPr>
        <w:ind w:left="753" w:hanging="360"/>
      </w:pPr>
      <w:rPr>
        <w:rFonts w:ascii="Symbol" w:hAnsi="Symbol" w:hint="default"/>
      </w:rPr>
    </w:lvl>
    <w:lvl w:ilvl="1" w:tplc="0C0A0003" w:tentative="1">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2">
    <w:nsid w:val="3919240A"/>
    <w:multiLevelType w:val="hybridMultilevel"/>
    <w:tmpl w:val="1B1A348C"/>
    <w:lvl w:ilvl="0" w:tplc="5294822E">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A26AC5"/>
    <w:multiLevelType w:val="hybridMultilevel"/>
    <w:tmpl w:val="8F60E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2E06B0"/>
    <w:multiLevelType w:val="multilevel"/>
    <w:tmpl w:val="6CE6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61E69"/>
    <w:rsid w:val="000452AF"/>
    <w:rsid w:val="00053499"/>
    <w:rsid w:val="00062B5B"/>
    <w:rsid w:val="00070BCF"/>
    <w:rsid w:val="00072239"/>
    <w:rsid w:val="000855E6"/>
    <w:rsid w:val="001431BC"/>
    <w:rsid w:val="001B3370"/>
    <w:rsid w:val="002560D4"/>
    <w:rsid w:val="002811CF"/>
    <w:rsid w:val="002A2B4C"/>
    <w:rsid w:val="002C351A"/>
    <w:rsid w:val="002D0A2D"/>
    <w:rsid w:val="002D1FF8"/>
    <w:rsid w:val="00326957"/>
    <w:rsid w:val="00330828"/>
    <w:rsid w:val="00346D89"/>
    <w:rsid w:val="0035472E"/>
    <w:rsid w:val="003B6D55"/>
    <w:rsid w:val="003E0E68"/>
    <w:rsid w:val="003F10FA"/>
    <w:rsid w:val="004078E5"/>
    <w:rsid w:val="00416AC1"/>
    <w:rsid w:val="004571EF"/>
    <w:rsid w:val="00496799"/>
    <w:rsid w:val="004D0947"/>
    <w:rsid w:val="004D5CFA"/>
    <w:rsid w:val="004E57AE"/>
    <w:rsid w:val="004E7D41"/>
    <w:rsid w:val="00510EF1"/>
    <w:rsid w:val="005550D8"/>
    <w:rsid w:val="0056563B"/>
    <w:rsid w:val="00583FFD"/>
    <w:rsid w:val="005F3234"/>
    <w:rsid w:val="00600C93"/>
    <w:rsid w:val="00614FD6"/>
    <w:rsid w:val="00623ECF"/>
    <w:rsid w:val="006B6661"/>
    <w:rsid w:val="006D46C2"/>
    <w:rsid w:val="006E5D6C"/>
    <w:rsid w:val="00701BA2"/>
    <w:rsid w:val="00716657"/>
    <w:rsid w:val="007524CF"/>
    <w:rsid w:val="007961E7"/>
    <w:rsid w:val="007B5A49"/>
    <w:rsid w:val="007E686C"/>
    <w:rsid w:val="00807CD6"/>
    <w:rsid w:val="00814FB3"/>
    <w:rsid w:val="008716D4"/>
    <w:rsid w:val="008B46DD"/>
    <w:rsid w:val="00943660"/>
    <w:rsid w:val="00964051"/>
    <w:rsid w:val="009D22F2"/>
    <w:rsid w:val="009E2057"/>
    <w:rsid w:val="00A14054"/>
    <w:rsid w:val="00A25040"/>
    <w:rsid w:val="00AB5087"/>
    <w:rsid w:val="00AD75CE"/>
    <w:rsid w:val="00B2752A"/>
    <w:rsid w:val="00B432DC"/>
    <w:rsid w:val="00B922C9"/>
    <w:rsid w:val="00BA4693"/>
    <w:rsid w:val="00BD2E7D"/>
    <w:rsid w:val="00C134FC"/>
    <w:rsid w:val="00C24174"/>
    <w:rsid w:val="00C3068E"/>
    <w:rsid w:val="00C36684"/>
    <w:rsid w:val="00C4105D"/>
    <w:rsid w:val="00C54B75"/>
    <w:rsid w:val="00C72E2F"/>
    <w:rsid w:val="00CB2A91"/>
    <w:rsid w:val="00CB6EB8"/>
    <w:rsid w:val="00CC4E3E"/>
    <w:rsid w:val="00CF7BBB"/>
    <w:rsid w:val="00D04870"/>
    <w:rsid w:val="00D15B18"/>
    <w:rsid w:val="00D40DF5"/>
    <w:rsid w:val="00D61E69"/>
    <w:rsid w:val="00D66136"/>
    <w:rsid w:val="00D95049"/>
    <w:rsid w:val="00DA3C95"/>
    <w:rsid w:val="00DC030A"/>
    <w:rsid w:val="00E30E24"/>
    <w:rsid w:val="00E3559B"/>
    <w:rsid w:val="00E47730"/>
    <w:rsid w:val="00E579D1"/>
    <w:rsid w:val="00E74354"/>
    <w:rsid w:val="00E83911"/>
    <w:rsid w:val="00ED1869"/>
    <w:rsid w:val="00F17321"/>
    <w:rsid w:val="00F26D41"/>
    <w:rsid w:val="00F33802"/>
    <w:rsid w:val="00F52C26"/>
    <w:rsid w:val="00F60DE5"/>
    <w:rsid w:val="00F637F6"/>
    <w:rsid w:val="00F87E1E"/>
    <w:rsid w:val="00FA212F"/>
    <w:rsid w:val="00FA6C82"/>
    <w:rsid w:val="00FE64FC"/>
    <w:rsid w:val="00FF23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61E69"/>
    <w:rPr>
      <w:color w:val="0000FF" w:themeColor="hyperlink"/>
      <w:u w:val="single"/>
    </w:rPr>
  </w:style>
  <w:style w:type="paragraph" w:styleId="Textodeglobo">
    <w:name w:val="Balloon Text"/>
    <w:basedOn w:val="Normal"/>
    <w:link w:val="TextodegloboCar"/>
    <w:uiPriority w:val="99"/>
    <w:semiHidden/>
    <w:unhideWhenUsed/>
    <w:rsid w:val="00D61E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E69"/>
    <w:rPr>
      <w:rFonts w:ascii="Tahoma" w:hAnsi="Tahoma" w:cs="Tahoma"/>
      <w:sz w:val="16"/>
      <w:szCs w:val="16"/>
    </w:rPr>
  </w:style>
  <w:style w:type="paragraph" w:styleId="Prrafodelista">
    <w:name w:val="List Paragraph"/>
    <w:basedOn w:val="Normal"/>
    <w:uiPriority w:val="34"/>
    <w:qFormat/>
    <w:rsid w:val="004571EF"/>
    <w:pPr>
      <w:ind w:left="720"/>
      <w:contextualSpacing/>
    </w:pPr>
  </w:style>
  <w:style w:type="paragraph" w:styleId="NormalWeb">
    <w:name w:val="Normal (Web)"/>
    <w:basedOn w:val="Normal"/>
    <w:uiPriority w:val="99"/>
    <w:semiHidden/>
    <w:unhideWhenUsed/>
    <w:rsid w:val="004571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D950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95049"/>
  </w:style>
  <w:style w:type="paragraph" w:styleId="Piedepgina">
    <w:name w:val="footer"/>
    <w:basedOn w:val="Normal"/>
    <w:link w:val="PiedepginaCar"/>
    <w:uiPriority w:val="99"/>
    <w:unhideWhenUsed/>
    <w:rsid w:val="00D950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5049"/>
  </w:style>
  <w:style w:type="table" w:styleId="Listaclara-nfasis5">
    <w:name w:val="Light List Accent 5"/>
    <w:basedOn w:val="Tablanormal"/>
    <w:uiPriority w:val="61"/>
    <w:rsid w:val="009D22F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vistosa-nfasis1">
    <w:name w:val="Colorful List Accent 1"/>
    <w:basedOn w:val="Tablanormal"/>
    <w:uiPriority w:val="72"/>
    <w:rsid w:val="009D22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1">
    <w:name w:val="Sombreado claro1"/>
    <w:basedOn w:val="Tablanormal"/>
    <w:uiPriority w:val="60"/>
    <w:rsid w:val="009E205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39"/>
    <w:rsid w:val="009E2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5F3234"/>
    <w:pPr>
      <w:spacing w:before="100" w:beforeAutospacing="1" w:after="142"/>
    </w:pPr>
    <w:rPr>
      <w:rFonts w:ascii="Calibri" w:eastAsia="Times New Roman" w:hAnsi="Calibri" w:cs="Times New Roman"/>
      <w:color w:val="000000"/>
      <w:lang w:eastAsia="es-ES"/>
    </w:rPr>
  </w:style>
</w:styles>
</file>

<file path=word/webSettings.xml><?xml version="1.0" encoding="utf-8"?>
<w:webSettings xmlns:r="http://schemas.openxmlformats.org/officeDocument/2006/relationships" xmlns:w="http://schemas.openxmlformats.org/wordprocessingml/2006/main">
  <w:divs>
    <w:div w:id="158497376">
      <w:bodyDiv w:val="1"/>
      <w:marLeft w:val="0"/>
      <w:marRight w:val="0"/>
      <w:marTop w:val="0"/>
      <w:marBottom w:val="0"/>
      <w:divBdr>
        <w:top w:val="none" w:sz="0" w:space="0" w:color="auto"/>
        <w:left w:val="none" w:sz="0" w:space="0" w:color="auto"/>
        <w:bottom w:val="none" w:sz="0" w:space="0" w:color="auto"/>
        <w:right w:val="none" w:sz="0" w:space="0" w:color="auto"/>
      </w:divBdr>
    </w:div>
    <w:div w:id="184104722">
      <w:bodyDiv w:val="1"/>
      <w:marLeft w:val="0"/>
      <w:marRight w:val="0"/>
      <w:marTop w:val="0"/>
      <w:marBottom w:val="0"/>
      <w:divBdr>
        <w:top w:val="none" w:sz="0" w:space="0" w:color="auto"/>
        <w:left w:val="none" w:sz="0" w:space="0" w:color="auto"/>
        <w:bottom w:val="none" w:sz="0" w:space="0" w:color="auto"/>
        <w:right w:val="none" w:sz="0" w:space="0" w:color="auto"/>
      </w:divBdr>
    </w:div>
    <w:div w:id="197935418">
      <w:bodyDiv w:val="1"/>
      <w:marLeft w:val="0"/>
      <w:marRight w:val="0"/>
      <w:marTop w:val="0"/>
      <w:marBottom w:val="0"/>
      <w:divBdr>
        <w:top w:val="none" w:sz="0" w:space="0" w:color="auto"/>
        <w:left w:val="none" w:sz="0" w:space="0" w:color="auto"/>
        <w:bottom w:val="none" w:sz="0" w:space="0" w:color="auto"/>
        <w:right w:val="none" w:sz="0" w:space="0" w:color="auto"/>
      </w:divBdr>
    </w:div>
    <w:div w:id="405614454">
      <w:bodyDiv w:val="1"/>
      <w:marLeft w:val="0"/>
      <w:marRight w:val="0"/>
      <w:marTop w:val="0"/>
      <w:marBottom w:val="0"/>
      <w:divBdr>
        <w:top w:val="none" w:sz="0" w:space="0" w:color="auto"/>
        <w:left w:val="none" w:sz="0" w:space="0" w:color="auto"/>
        <w:bottom w:val="none" w:sz="0" w:space="0" w:color="auto"/>
        <w:right w:val="none" w:sz="0" w:space="0" w:color="auto"/>
      </w:divBdr>
    </w:div>
    <w:div w:id="445270848">
      <w:bodyDiv w:val="1"/>
      <w:marLeft w:val="0"/>
      <w:marRight w:val="0"/>
      <w:marTop w:val="0"/>
      <w:marBottom w:val="0"/>
      <w:divBdr>
        <w:top w:val="none" w:sz="0" w:space="0" w:color="auto"/>
        <w:left w:val="none" w:sz="0" w:space="0" w:color="auto"/>
        <w:bottom w:val="none" w:sz="0" w:space="0" w:color="auto"/>
        <w:right w:val="none" w:sz="0" w:space="0" w:color="auto"/>
      </w:divBdr>
    </w:div>
    <w:div w:id="643193826">
      <w:bodyDiv w:val="1"/>
      <w:marLeft w:val="0"/>
      <w:marRight w:val="0"/>
      <w:marTop w:val="0"/>
      <w:marBottom w:val="0"/>
      <w:divBdr>
        <w:top w:val="none" w:sz="0" w:space="0" w:color="auto"/>
        <w:left w:val="none" w:sz="0" w:space="0" w:color="auto"/>
        <w:bottom w:val="none" w:sz="0" w:space="0" w:color="auto"/>
        <w:right w:val="none" w:sz="0" w:space="0" w:color="auto"/>
      </w:divBdr>
    </w:div>
    <w:div w:id="682320357">
      <w:bodyDiv w:val="1"/>
      <w:marLeft w:val="0"/>
      <w:marRight w:val="0"/>
      <w:marTop w:val="0"/>
      <w:marBottom w:val="0"/>
      <w:divBdr>
        <w:top w:val="none" w:sz="0" w:space="0" w:color="auto"/>
        <w:left w:val="none" w:sz="0" w:space="0" w:color="auto"/>
        <w:bottom w:val="none" w:sz="0" w:space="0" w:color="auto"/>
        <w:right w:val="none" w:sz="0" w:space="0" w:color="auto"/>
      </w:divBdr>
    </w:div>
    <w:div w:id="738285490">
      <w:bodyDiv w:val="1"/>
      <w:marLeft w:val="0"/>
      <w:marRight w:val="0"/>
      <w:marTop w:val="0"/>
      <w:marBottom w:val="0"/>
      <w:divBdr>
        <w:top w:val="none" w:sz="0" w:space="0" w:color="auto"/>
        <w:left w:val="none" w:sz="0" w:space="0" w:color="auto"/>
        <w:bottom w:val="none" w:sz="0" w:space="0" w:color="auto"/>
        <w:right w:val="none" w:sz="0" w:space="0" w:color="auto"/>
      </w:divBdr>
    </w:div>
    <w:div w:id="765885288">
      <w:bodyDiv w:val="1"/>
      <w:marLeft w:val="0"/>
      <w:marRight w:val="0"/>
      <w:marTop w:val="0"/>
      <w:marBottom w:val="0"/>
      <w:divBdr>
        <w:top w:val="none" w:sz="0" w:space="0" w:color="auto"/>
        <w:left w:val="none" w:sz="0" w:space="0" w:color="auto"/>
        <w:bottom w:val="none" w:sz="0" w:space="0" w:color="auto"/>
        <w:right w:val="none" w:sz="0" w:space="0" w:color="auto"/>
      </w:divBdr>
    </w:div>
    <w:div w:id="1250623555">
      <w:bodyDiv w:val="1"/>
      <w:marLeft w:val="0"/>
      <w:marRight w:val="0"/>
      <w:marTop w:val="0"/>
      <w:marBottom w:val="0"/>
      <w:divBdr>
        <w:top w:val="none" w:sz="0" w:space="0" w:color="auto"/>
        <w:left w:val="none" w:sz="0" w:space="0" w:color="auto"/>
        <w:bottom w:val="none" w:sz="0" w:space="0" w:color="auto"/>
        <w:right w:val="none" w:sz="0" w:space="0" w:color="auto"/>
      </w:divBdr>
    </w:div>
    <w:div w:id="1367365822">
      <w:bodyDiv w:val="1"/>
      <w:marLeft w:val="0"/>
      <w:marRight w:val="0"/>
      <w:marTop w:val="0"/>
      <w:marBottom w:val="0"/>
      <w:divBdr>
        <w:top w:val="none" w:sz="0" w:space="0" w:color="auto"/>
        <w:left w:val="none" w:sz="0" w:space="0" w:color="auto"/>
        <w:bottom w:val="none" w:sz="0" w:space="0" w:color="auto"/>
        <w:right w:val="none" w:sz="0" w:space="0" w:color="auto"/>
      </w:divBdr>
    </w:div>
    <w:div w:id="1471704959">
      <w:bodyDiv w:val="1"/>
      <w:marLeft w:val="0"/>
      <w:marRight w:val="0"/>
      <w:marTop w:val="0"/>
      <w:marBottom w:val="0"/>
      <w:divBdr>
        <w:top w:val="none" w:sz="0" w:space="0" w:color="auto"/>
        <w:left w:val="none" w:sz="0" w:space="0" w:color="auto"/>
        <w:bottom w:val="none" w:sz="0" w:space="0" w:color="auto"/>
        <w:right w:val="none" w:sz="0" w:space="0" w:color="auto"/>
      </w:divBdr>
    </w:div>
    <w:div w:id="1500076071">
      <w:bodyDiv w:val="1"/>
      <w:marLeft w:val="0"/>
      <w:marRight w:val="0"/>
      <w:marTop w:val="0"/>
      <w:marBottom w:val="0"/>
      <w:divBdr>
        <w:top w:val="none" w:sz="0" w:space="0" w:color="auto"/>
        <w:left w:val="none" w:sz="0" w:space="0" w:color="auto"/>
        <w:bottom w:val="none" w:sz="0" w:space="0" w:color="auto"/>
        <w:right w:val="none" w:sz="0" w:space="0" w:color="auto"/>
      </w:divBdr>
    </w:div>
    <w:div w:id="1547444901">
      <w:bodyDiv w:val="1"/>
      <w:marLeft w:val="0"/>
      <w:marRight w:val="0"/>
      <w:marTop w:val="0"/>
      <w:marBottom w:val="0"/>
      <w:divBdr>
        <w:top w:val="none" w:sz="0" w:space="0" w:color="auto"/>
        <w:left w:val="none" w:sz="0" w:space="0" w:color="auto"/>
        <w:bottom w:val="none" w:sz="0" w:space="0" w:color="auto"/>
        <w:right w:val="none" w:sz="0" w:space="0" w:color="auto"/>
      </w:divBdr>
    </w:div>
    <w:div w:id="1665431976">
      <w:bodyDiv w:val="1"/>
      <w:marLeft w:val="0"/>
      <w:marRight w:val="0"/>
      <w:marTop w:val="0"/>
      <w:marBottom w:val="0"/>
      <w:divBdr>
        <w:top w:val="none" w:sz="0" w:space="0" w:color="auto"/>
        <w:left w:val="none" w:sz="0" w:space="0" w:color="auto"/>
        <w:bottom w:val="none" w:sz="0" w:space="0" w:color="auto"/>
        <w:right w:val="none" w:sz="0" w:space="0" w:color="auto"/>
      </w:divBdr>
    </w:div>
    <w:div w:id="1746754628">
      <w:bodyDiv w:val="1"/>
      <w:marLeft w:val="0"/>
      <w:marRight w:val="0"/>
      <w:marTop w:val="0"/>
      <w:marBottom w:val="0"/>
      <w:divBdr>
        <w:top w:val="none" w:sz="0" w:space="0" w:color="auto"/>
        <w:left w:val="none" w:sz="0" w:space="0" w:color="auto"/>
        <w:bottom w:val="none" w:sz="0" w:space="0" w:color="auto"/>
        <w:right w:val="none" w:sz="0" w:space="0" w:color="auto"/>
      </w:divBdr>
    </w:div>
    <w:div w:id="17841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1D667-5593-4FDC-A328-01CCD148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715</Words>
  <Characters>3935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dc:creator>
  <cp:lastModifiedBy>Almudena</cp:lastModifiedBy>
  <cp:revision>4</cp:revision>
  <cp:lastPrinted>2021-10-29T09:31:00Z</cp:lastPrinted>
  <dcterms:created xsi:type="dcterms:W3CDTF">2023-10-20T13:45:00Z</dcterms:created>
  <dcterms:modified xsi:type="dcterms:W3CDTF">2023-10-20T14:10:00Z</dcterms:modified>
</cp:coreProperties>
</file>